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9E61" w14:textId="77777777" w:rsidR="00100DB6" w:rsidRDefault="00100DB6" w:rsidP="00100DB6">
      <w:pPr>
        <w:jc w:val="both"/>
      </w:pPr>
      <w:r>
        <w:t xml:space="preserve">La Direzione di ARGO </w:t>
      </w:r>
      <w:r w:rsidR="008707B8">
        <w:t>ha</w:t>
      </w:r>
      <w:r>
        <w:t xml:space="preserve"> stabilito di migliorare continuamente </w:t>
      </w:r>
      <w:r w:rsidR="00146AD1">
        <w:t>il</w:t>
      </w:r>
      <w:r>
        <w:t xml:space="preserve"> Sistema di Gestione per la Qualità conforme alla norma UNI EN ISO 9001:2015 in base alla convinzione che tale impegno possa ulteriormente assicurare la definizione e soddisfazione dei fabbisogni dei propri Clienti, con l’obiettivo di stabilire con essi dei rapporti duraturi di reciproca collaborazione.</w:t>
      </w:r>
    </w:p>
    <w:p w14:paraId="63CBDAE9" w14:textId="77777777" w:rsidR="00100DB6" w:rsidRDefault="00100DB6" w:rsidP="00100DB6">
      <w:pPr>
        <w:jc w:val="both"/>
      </w:pPr>
      <w:r>
        <w:t>A tale scopo la Direzione di ARGO 3000 si impegna a:</w:t>
      </w:r>
    </w:p>
    <w:p w14:paraId="1E99F73C" w14:textId="77777777" w:rsidR="00100DB6" w:rsidRDefault="00100DB6" w:rsidP="00100DB6">
      <w:pPr>
        <w:pStyle w:val="Paragrafoelenco"/>
        <w:numPr>
          <w:ilvl w:val="0"/>
          <w:numId w:val="1"/>
        </w:numPr>
        <w:ind w:left="357" w:hanging="357"/>
        <w:contextualSpacing w:val="0"/>
        <w:jc w:val="both"/>
      </w:pPr>
      <w:r>
        <w:t>comunicare con continuità alla propria organizzazione l’importanza di ottemperare ai requisiti del Cliente e a quelli cogenti applicabili;</w:t>
      </w:r>
    </w:p>
    <w:p w14:paraId="13AE836E" w14:textId="77777777" w:rsidR="00100DB6" w:rsidRDefault="00100DB6" w:rsidP="00100DB6">
      <w:pPr>
        <w:pStyle w:val="Paragrafoelenco"/>
        <w:numPr>
          <w:ilvl w:val="0"/>
          <w:numId w:val="1"/>
        </w:numPr>
        <w:ind w:left="357" w:hanging="357"/>
        <w:contextualSpacing w:val="0"/>
        <w:jc w:val="both"/>
      </w:pPr>
      <w:r>
        <w:t>definire, rendere noti e verificare il raggiungimento di obiettivi aziendali specifici per ogni processo;</w:t>
      </w:r>
    </w:p>
    <w:p w14:paraId="28F4C324" w14:textId="77777777" w:rsidR="00100DB6" w:rsidRDefault="00100DB6" w:rsidP="00100DB6">
      <w:pPr>
        <w:pStyle w:val="Paragrafoelenco"/>
        <w:numPr>
          <w:ilvl w:val="0"/>
          <w:numId w:val="1"/>
        </w:numPr>
        <w:ind w:left="357" w:hanging="357"/>
        <w:contextualSpacing w:val="0"/>
        <w:jc w:val="both"/>
      </w:pPr>
      <w:r>
        <w:t>garantire la disponibilità delle risorse necessarie per assicurare il perseguimento degli obiettivi aziendali e la soddisfazione del Cliente;</w:t>
      </w:r>
    </w:p>
    <w:p w14:paraId="50EF0E0D" w14:textId="77777777" w:rsidR="00100DB6" w:rsidRDefault="00100DB6" w:rsidP="00100DB6">
      <w:pPr>
        <w:pStyle w:val="Paragrafoelenco"/>
        <w:numPr>
          <w:ilvl w:val="0"/>
          <w:numId w:val="1"/>
        </w:numPr>
        <w:ind w:left="357" w:hanging="357"/>
        <w:contextualSpacing w:val="0"/>
        <w:jc w:val="both"/>
      </w:pPr>
      <w:r>
        <w:t>riesaminare periodicamente l’organizzazione aziendale e il sistema di gestione;</w:t>
      </w:r>
    </w:p>
    <w:p w14:paraId="7DFAD79E" w14:textId="77777777" w:rsidR="00100DB6" w:rsidRDefault="00100DB6" w:rsidP="00100DB6">
      <w:pPr>
        <w:pStyle w:val="Paragrafoelenco"/>
        <w:numPr>
          <w:ilvl w:val="0"/>
          <w:numId w:val="1"/>
        </w:numPr>
        <w:ind w:left="357" w:hanging="357"/>
        <w:contextualSpacing w:val="0"/>
        <w:jc w:val="both"/>
      </w:pPr>
      <w:r>
        <w:t>migliorare l’efficacia del sistema di gestione per la qualità.</w:t>
      </w:r>
    </w:p>
    <w:p w14:paraId="7F5CD501" w14:textId="6B8B56E1" w:rsidR="006C5A7F" w:rsidRDefault="006C5A7F" w:rsidP="00100DB6">
      <w:pPr>
        <w:pStyle w:val="Paragrafoelenco"/>
        <w:numPr>
          <w:ilvl w:val="0"/>
          <w:numId w:val="1"/>
        </w:numPr>
        <w:ind w:left="357" w:hanging="357"/>
        <w:contextualSpacing w:val="0"/>
        <w:jc w:val="both"/>
      </w:pPr>
      <w:r>
        <w:t>contribuire alla riduzione del cambiamento climatico mediante policy di contenimento dei rifiuti, prediligendo le comunicazioni e le emissioni rispetto ad attività presso le sedi dei clienti.</w:t>
      </w:r>
    </w:p>
    <w:p w14:paraId="1B2ED2DE" w14:textId="77777777" w:rsidR="00100DB6" w:rsidRDefault="00100DB6" w:rsidP="00100DB6">
      <w:pPr>
        <w:jc w:val="both"/>
      </w:pPr>
      <w:r>
        <w:t xml:space="preserve">In conformità ai valori aziendali di competenza tecnico-specifica, precisione, tempestività, versatilità, e personalizzazione del servizio, la soddisfazione delle aspettative dei Clienti è l'obiettivo primario che tutto il personale si deve porre durante lo svolgimento delle proprie attività; essa rappresenta un elemento fondamentale per consolidare la propria posizione e conquistare nuovi spazi sul mercato. </w:t>
      </w:r>
    </w:p>
    <w:p w14:paraId="6E5C5BE6" w14:textId="77777777" w:rsidR="00100DB6" w:rsidRDefault="00100DB6" w:rsidP="00100DB6">
      <w:pPr>
        <w:jc w:val="both"/>
      </w:pPr>
      <w:r>
        <w:t>Gli strumenti per raggiungere tali traguardi sono un patrimonio consolidato di ARGO 3000 che può contare su una struttura snella con un elevato spirito di collaborazione, un’elevata qualità dei servizi erogati ai clienti e un’esperienza consolidata nel settore che testimoniano il valore operativo e umano presente nella nostra Azienda.</w:t>
      </w:r>
    </w:p>
    <w:p w14:paraId="683E6ACE" w14:textId="77777777" w:rsidR="00100DB6" w:rsidRDefault="00100DB6" w:rsidP="00100DB6">
      <w:pPr>
        <w:jc w:val="both"/>
      </w:pPr>
      <w:r>
        <w:t>Obiettivi strategici dell’Azienda sono quindi i seguenti:</w:t>
      </w:r>
    </w:p>
    <w:p w14:paraId="3D94628A" w14:textId="77777777" w:rsidR="00100DB6" w:rsidRDefault="00100DB6" w:rsidP="00100DB6">
      <w:pPr>
        <w:pStyle w:val="Paragrafoelenco"/>
        <w:numPr>
          <w:ilvl w:val="0"/>
          <w:numId w:val="3"/>
        </w:numPr>
        <w:ind w:left="357" w:hanging="357"/>
        <w:contextualSpacing w:val="0"/>
        <w:jc w:val="both"/>
      </w:pPr>
      <w:r>
        <w:t xml:space="preserve">offrire ai propri Clienti un servizio personalizzato a prezzi competitivi, grazie alla versatilità e all’efficienza aziendali; </w:t>
      </w:r>
    </w:p>
    <w:p w14:paraId="00950BB9" w14:textId="77777777" w:rsidR="003A517E" w:rsidRDefault="003A517E" w:rsidP="00100DB6">
      <w:pPr>
        <w:pStyle w:val="Paragrafoelenco"/>
        <w:numPr>
          <w:ilvl w:val="0"/>
          <w:numId w:val="3"/>
        </w:numPr>
        <w:ind w:left="357" w:hanging="357"/>
        <w:contextualSpacing w:val="0"/>
        <w:jc w:val="both"/>
      </w:pPr>
      <w:r>
        <w:t>implementare il parco clienti</w:t>
      </w:r>
      <w:r w:rsidR="008E15EB">
        <w:t>, utilizzando risorse dedicate al marketing</w:t>
      </w:r>
      <w:r w:rsidR="00871455">
        <w:t xml:space="preserve"> e aggiornamento sito web</w:t>
      </w:r>
      <w:r w:rsidR="00597D48">
        <w:t>;</w:t>
      </w:r>
    </w:p>
    <w:p w14:paraId="70EF6589" w14:textId="77777777" w:rsidR="00100DB6" w:rsidRDefault="00100DB6" w:rsidP="00100DB6">
      <w:pPr>
        <w:pStyle w:val="Paragrafoelenco"/>
        <w:numPr>
          <w:ilvl w:val="0"/>
          <w:numId w:val="3"/>
        </w:numPr>
        <w:ind w:left="357" w:hanging="357"/>
        <w:contextualSpacing w:val="0"/>
        <w:jc w:val="both"/>
      </w:pPr>
      <w:r>
        <w:t>assicurare la qualità e l’efficacia del servizio formativo in termini di ottenimento dei finanziamenti, raggiungimento degli obbiettivi didattici, conformità ai regolamenti dei Fondi e agli altri requisiti applicabili, rispetto delle tempistiche;</w:t>
      </w:r>
    </w:p>
    <w:p w14:paraId="2B1734DB" w14:textId="77777777" w:rsidR="00100DB6" w:rsidRDefault="00100DB6" w:rsidP="00100DB6">
      <w:pPr>
        <w:pStyle w:val="Paragrafoelenco"/>
        <w:numPr>
          <w:ilvl w:val="0"/>
          <w:numId w:val="3"/>
        </w:numPr>
        <w:ind w:left="357" w:hanging="357"/>
        <w:contextualSpacing w:val="0"/>
        <w:jc w:val="both"/>
      </w:pPr>
      <w:r>
        <w:t>realizzare gli investimenti necessari per rimanere sul mercato offrendo un servizio aggiornato e tecnicamente idoneo.</w:t>
      </w:r>
    </w:p>
    <w:p w14:paraId="34536CC8" w14:textId="77777777" w:rsidR="00100DB6" w:rsidRDefault="00100DB6" w:rsidP="00100DB6">
      <w:pPr>
        <w:jc w:val="both"/>
      </w:pPr>
      <w:r>
        <w:t>Ulteriori obiettivi specifici per ogni processo e funzione sono definiti in sede di Riesame della Direzione.</w:t>
      </w:r>
    </w:p>
    <w:p w14:paraId="7F810979" w14:textId="77777777" w:rsidR="00100DB6" w:rsidRDefault="00100DB6" w:rsidP="00100DB6">
      <w:pPr>
        <w:jc w:val="both"/>
      </w:pPr>
    </w:p>
    <w:p w14:paraId="1455587A" w14:textId="225F75B2" w:rsidR="00100DB6" w:rsidRDefault="00100DB6" w:rsidP="00100DB6">
      <w:pPr>
        <w:jc w:val="both"/>
      </w:pPr>
      <w:r>
        <w:t>Torino, 1</w:t>
      </w:r>
      <w:r w:rsidR="006C5A7F">
        <w:t>4</w:t>
      </w:r>
      <w:r w:rsidR="008707B8">
        <w:t xml:space="preserve"> </w:t>
      </w:r>
      <w:r w:rsidR="006C5A7F">
        <w:t>aprile</w:t>
      </w:r>
      <w:r>
        <w:t xml:space="preserve"> </w:t>
      </w:r>
      <w:r w:rsidR="00C764CC">
        <w:t>20</w:t>
      </w:r>
      <w:r w:rsidR="006C5A7F">
        <w:t>24</w:t>
      </w:r>
    </w:p>
    <w:p w14:paraId="292FFAFE" w14:textId="77777777" w:rsidR="00536F2B" w:rsidRDefault="00100DB6" w:rsidP="00100DB6">
      <w:r>
        <w:t xml:space="preserve"> </w:t>
      </w:r>
      <w:r>
        <w:tab/>
      </w:r>
      <w:r>
        <w:tab/>
      </w:r>
      <w:r>
        <w:tab/>
      </w:r>
      <w:r>
        <w:tab/>
      </w:r>
      <w:r>
        <w:tab/>
      </w:r>
      <w:r>
        <w:tab/>
      </w:r>
      <w:r>
        <w:tab/>
      </w:r>
      <w:r>
        <w:tab/>
        <w:t xml:space="preserve">La Direzione </w:t>
      </w:r>
      <w:r w:rsidR="00146AD1">
        <w:t xml:space="preserve">Stefano </w:t>
      </w:r>
      <w:proofErr w:type="spellStart"/>
      <w:r w:rsidR="00146AD1">
        <w:t>Arisio</w:t>
      </w:r>
      <w:proofErr w:type="spellEnd"/>
    </w:p>
    <w:sectPr w:rsidR="00536F2B" w:rsidSect="00100DB6">
      <w:headerReference w:type="default" r:id="rId7"/>
      <w:pgSz w:w="11906" w:h="16838"/>
      <w:pgMar w:top="269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4A580" w14:textId="77777777" w:rsidR="00D43D42" w:rsidRDefault="00D43D42" w:rsidP="00100DB6">
      <w:pPr>
        <w:spacing w:after="0" w:line="240" w:lineRule="auto"/>
      </w:pPr>
      <w:r>
        <w:separator/>
      </w:r>
    </w:p>
  </w:endnote>
  <w:endnote w:type="continuationSeparator" w:id="0">
    <w:p w14:paraId="36FACB9F" w14:textId="77777777" w:rsidR="00D43D42" w:rsidRDefault="00D43D42" w:rsidP="0010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4A8B" w14:textId="77777777" w:rsidR="00D43D42" w:rsidRDefault="00D43D42" w:rsidP="00100DB6">
      <w:pPr>
        <w:spacing w:after="0" w:line="240" w:lineRule="auto"/>
      </w:pPr>
      <w:r>
        <w:separator/>
      </w:r>
    </w:p>
  </w:footnote>
  <w:footnote w:type="continuationSeparator" w:id="0">
    <w:p w14:paraId="655E93EA" w14:textId="77777777" w:rsidR="00D43D42" w:rsidRDefault="00D43D42" w:rsidP="00100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508"/>
      <w:gridCol w:w="6482"/>
      <w:gridCol w:w="1638"/>
    </w:tblGrid>
    <w:tr w:rsidR="00100DB6" w:rsidRPr="007A274F" w14:paraId="1788DF76" w14:textId="77777777" w:rsidTr="004D71AD">
      <w:trPr>
        <w:trHeight w:val="652"/>
      </w:trPr>
      <w:tc>
        <w:tcPr>
          <w:tcW w:w="1526" w:type="dxa"/>
          <w:vMerge w:val="restart"/>
          <w:shd w:val="clear" w:color="auto" w:fill="auto"/>
        </w:tcPr>
        <w:p w14:paraId="747A2CEC" w14:textId="77777777" w:rsidR="00100DB6" w:rsidRPr="007A274F" w:rsidRDefault="00100DB6" w:rsidP="00100DB6">
          <w:pPr>
            <w:jc w:val="center"/>
            <w:rPr>
              <w:rFonts w:ascii="Calibri" w:hAnsi="Calibri" w:cs="Calibri"/>
              <w:color w:val="2E74B5"/>
            </w:rPr>
          </w:pPr>
          <w:r w:rsidRPr="008F21D9">
            <w:rPr>
              <w:noProof/>
              <w:lang w:eastAsia="it-IT"/>
            </w:rPr>
            <w:drawing>
              <wp:inline distT="0" distB="0" distL="0" distR="0" wp14:anchorId="22486198" wp14:editId="4DD4CC60">
                <wp:extent cx="695325" cy="638175"/>
                <wp:effectExtent l="0" t="0" r="9525"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tc>
      <w:tc>
        <w:tcPr>
          <w:tcW w:w="6946" w:type="dxa"/>
          <w:vMerge w:val="restart"/>
          <w:shd w:val="clear" w:color="auto" w:fill="auto"/>
          <w:vAlign w:val="center"/>
        </w:tcPr>
        <w:p w14:paraId="0E1A4E1A" w14:textId="77777777" w:rsidR="00100DB6" w:rsidRPr="007A274F" w:rsidRDefault="00100DB6" w:rsidP="00100DB6">
          <w:pPr>
            <w:jc w:val="center"/>
            <w:rPr>
              <w:rFonts w:ascii="Calibri" w:hAnsi="Calibri" w:cs="Calibri"/>
              <w:color w:val="2E74B5"/>
              <w:sz w:val="40"/>
            </w:rPr>
          </w:pPr>
          <w:r>
            <w:rPr>
              <w:rFonts w:ascii="Calibri" w:hAnsi="Calibri" w:cs="Calibri"/>
              <w:color w:val="2E74B5"/>
              <w:sz w:val="40"/>
            </w:rPr>
            <w:t>POLITICA</w:t>
          </w:r>
          <w:r w:rsidRPr="007A274F">
            <w:rPr>
              <w:rFonts w:ascii="Calibri" w:hAnsi="Calibri" w:cs="Calibri"/>
              <w:color w:val="2E74B5"/>
              <w:sz w:val="40"/>
            </w:rPr>
            <w:t xml:space="preserve"> DELLA QUALITÀ</w:t>
          </w:r>
        </w:p>
      </w:tc>
      <w:tc>
        <w:tcPr>
          <w:tcW w:w="1701" w:type="dxa"/>
          <w:shd w:val="clear" w:color="auto" w:fill="auto"/>
          <w:vAlign w:val="center"/>
        </w:tcPr>
        <w:p w14:paraId="2232F25F" w14:textId="5A945735" w:rsidR="00100DB6" w:rsidRPr="007A274F" w:rsidRDefault="00100DB6" w:rsidP="00100DB6">
          <w:pPr>
            <w:spacing w:after="0" w:line="240" w:lineRule="auto"/>
            <w:jc w:val="center"/>
            <w:rPr>
              <w:rFonts w:ascii="Calibri" w:hAnsi="Calibri" w:cs="Calibri"/>
              <w:color w:val="2E74B5"/>
              <w:sz w:val="16"/>
            </w:rPr>
          </w:pPr>
          <w:r w:rsidRPr="007A274F">
            <w:rPr>
              <w:rFonts w:ascii="Calibri" w:hAnsi="Calibri" w:cs="Calibri"/>
              <w:color w:val="2E74B5"/>
              <w:sz w:val="16"/>
            </w:rPr>
            <w:t>Rev. 0</w:t>
          </w:r>
          <w:r w:rsidR="006C5A7F">
            <w:rPr>
              <w:rFonts w:ascii="Calibri" w:hAnsi="Calibri" w:cs="Calibri"/>
              <w:color w:val="2E74B5"/>
              <w:sz w:val="16"/>
            </w:rPr>
            <w:t>4</w:t>
          </w:r>
          <w:r w:rsidRPr="007A274F">
            <w:rPr>
              <w:rFonts w:ascii="Calibri" w:hAnsi="Calibri" w:cs="Calibri"/>
              <w:color w:val="2E74B5"/>
              <w:sz w:val="16"/>
            </w:rPr>
            <w:t xml:space="preserve"> del </w:t>
          </w:r>
          <w:r>
            <w:rPr>
              <w:rFonts w:ascii="Calibri" w:hAnsi="Calibri" w:cs="Calibri"/>
              <w:color w:val="2E74B5"/>
              <w:sz w:val="16"/>
            </w:rPr>
            <w:t>1</w:t>
          </w:r>
          <w:r w:rsidR="006C5A7F">
            <w:rPr>
              <w:rFonts w:ascii="Calibri" w:hAnsi="Calibri" w:cs="Calibri"/>
              <w:color w:val="2E74B5"/>
              <w:sz w:val="16"/>
            </w:rPr>
            <w:t>4</w:t>
          </w:r>
          <w:r>
            <w:rPr>
              <w:rFonts w:ascii="Calibri" w:hAnsi="Calibri" w:cs="Calibri"/>
              <w:color w:val="2E74B5"/>
              <w:sz w:val="16"/>
            </w:rPr>
            <w:t>/0</w:t>
          </w:r>
          <w:r w:rsidR="006C5A7F">
            <w:rPr>
              <w:rFonts w:ascii="Calibri" w:hAnsi="Calibri" w:cs="Calibri"/>
              <w:color w:val="2E74B5"/>
              <w:sz w:val="16"/>
            </w:rPr>
            <w:t>4</w:t>
          </w:r>
          <w:r>
            <w:rPr>
              <w:rFonts w:ascii="Calibri" w:hAnsi="Calibri" w:cs="Calibri"/>
              <w:color w:val="2E74B5"/>
              <w:sz w:val="16"/>
            </w:rPr>
            <w:t>/20</w:t>
          </w:r>
          <w:r w:rsidR="006C5A7F">
            <w:rPr>
              <w:rFonts w:ascii="Calibri" w:hAnsi="Calibri" w:cs="Calibri"/>
              <w:color w:val="2E74B5"/>
              <w:sz w:val="16"/>
            </w:rPr>
            <w:t>24</w:t>
          </w:r>
        </w:p>
      </w:tc>
    </w:tr>
    <w:tr w:rsidR="00100DB6" w:rsidRPr="007A274F" w14:paraId="40C63AED" w14:textId="77777777" w:rsidTr="00100DB6">
      <w:trPr>
        <w:trHeight w:val="319"/>
      </w:trPr>
      <w:tc>
        <w:tcPr>
          <w:tcW w:w="1526" w:type="dxa"/>
          <w:vMerge/>
          <w:shd w:val="clear" w:color="auto" w:fill="auto"/>
        </w:tcPr>
        <w:p w14:paraId="78F16723" w14:textId="77777777" w:rsidR="00100DB6" w:rsidRPr="007A274F" w:rsidRDefault="00100DB6" w:rsidP="00100DB6">
          <w:pPr>
            <w:rPr>
              <w:rFonts w:ascii="Calibri" w:hAnsi="Calibri" w:cs="Calibri"/>
              <w:color w:val="2E74B5"/>
            </w:rPr>
          </w:pPr>
        </w:p>
      </w:tc>
      <w:tc>
        <w:tcPr>
          <w:tcW w:w="6946" w:type="dxa"/>
          <w:vMerge/>
          <w:shd w:val="clear" w:color="auto" w:fill="auto"/>
        </w:tcPr>
        <w:p w14:paraId="600EAF89" w14:textId="77777777" w:rsidR="00100DB6" w:rsidRPr="007A274F" w:rsidRDefault="00100DB6" w:rsidP="00100DB6">
          <w:pPr>
            <w:rPr>
              <w:rFonts w:ascii="Calibri" w:hAnsi="Calibri" w:cs="Calibri"/>
              <w:color w:val="2E74B5"/>
            </w:rPr>
          </w:pPr>
        </w:p>
      </w:tc>
      <w:tc>
        <w:tcPr>
          <w:tcW w:w="1701" w:type="dxa"/>
          <w:shd w:val="clear" w:color="auto" w:fill="auto"/>
          <w:vAlign w:val="center"/>
        </w:tcPr>
        <w:p w14:paraId="2E71047F" w14:textId="77777777" w:rsidR="00100DB6" w:rsidRPr="007A274F" w:rsidRDefault="00100DB6" w:rsidP="00100DB6">
          <w:pPr>
            <w:spacing w:after="0" w:line="240" w:lineRule="auto"/>
            <w:jc w:val="center"/>
            <w:rPr>
              <w:rFonts w:ascii="Calibri" w:hAnsi="Calibri" w:cs="Calibri"/>
              <w:color w:val="2E74B5"/>
              <w:sz w:val="16"/>
            </w:rPr>
          </w:pPr>
          <w:r w:rsidRPr="007A274F">
            <w:rPr>
              <w:rFonts w:ascii="Calibri" w:hAnsi="Calibri" w:cs="Calibri"/>
              <w:color w:val="2E74B5"/>
              <w:sz w:val="16"/>
            </w:rPr>
            <w:t xml:space="preserve">Pag. </w:t>
          </w:r>
          <w:r w:rsidRPr="007A274F">
            <w:rPr>
              <w:rFonts w:ascii="Calibri" w:hAnsi="Calibri" w:cs="Calibri"/>
              <w:color w:val="2E74B5"/>
              <w:sz w:val="16"/>
            </w:rPr>
            <w:fldChar w:fldCharType="begin"/>
          </w:r>
          <w:r w:rsidRPr="007A274F">
            <w:rPr>
              <w:rFonts w:ascii="Calibri" w:hAnsi="Calibri" w:cs="Calibri"/>
              <w:color w:val="2E74B5"/>
              <w:sz w:val="16"/>
            </w:rPr>
            <w:instrText xml:space="preserve"> PAGE   \* MERGEFORMAT </w:instrText>
          </w:r>
          <w:r w:rsidRPr="007A274F">
            <w:rPr>
              <w:rFonts w:ascii="Calibri" w:hAnsi="Calibri" w:cs="Calibri"/>
              <w:color w:val="2E74B5"/>
              <w:sz w:val="16"/>
            </w:rPr>
            <w:fldChar w:fldCharType="separate"/>
          </w:r>
          <w:r w:rsidR="008707B8">
            <w:rPr>
              <w:rFonts w:ascii="Calibri" w:hAnsi="Calibri" w:cs="Calibri"/>
              <w:noProof/>
              <w:color w:val="2E74B5"/>
              <w:sz w:val="16"/>
            </w:rPr>
            <w:t>1</w:t>
          </w:r>
          <w:r w:rsidRPr="007A274F">
            <w:rPr>
              <w:rFonts w:ascii="Calibri" w:hAnsi="Calibri" w:cs="Calibri"/>
              <w:color w:val="2E74B5"/>
              <w:sz w:val="16"/>
            </w:rPr>
            <w:fldChar w:fldCharType="end"/>
          </w:r>
          <w:r w:rsidRPr="007A274F">
            <w:rPr>
              <w:rFonts w:ascii="Calibri" w:hAnsi="Calibri" w:cs="Calibri"/>
              <w:color w:val="2E74B5"/>
              <w:sz w:val="16"/>
            </w:rPr>
            <w:t xml:space="preserve"> di </w:t>
          </w:r>
          <w:r w:rsidRPr="007A274F">
            <w:rPr>
              <w:rFonts w:ascii="Calibri" w:hAnsi="Calibri" w:cs="Calibri"/>
              <w:color w:val="2E74B5"/>
              <w:sz w:val="16"/>
            </w:rPr>
            <w:fldChar w:fldCharType="begin"/>
          </w:r>
          <w:r w:rsidRPr="007A274F">
            <w:rPr>
              <w:rFonts w:ascii="Calibri" w:hAnsi="Calibri" w:cs="Calibri"/>
              <w:color w:val="2E74B5"/>
              <w:sz w:val="16"/>
            </w:rPr>
            <w:instrText xml:space="preserve"> NUMPAGES   \* MERGEFORMAT </w:instrText>
          </w:r>
          <w:r w:rsidRPr="007A274F">
            <w:rPr>
              <w:rFonts w:ascii="Calibri" w:hAnsi="Calibri" w:cs="Calibri"/>
              <w:color w:val="2E74B5"/>
              <w:sz w:val="16"/>
            </w:rPr>
            <w:fldChar w:fldCharType="separate"/>
          </w:r>
          <w:r w:rsidR="008707B8">
            <w:rPr>
              <w:rFonts w:ascii="Calibri" w:hAnsi="Calibri" w:cs="Calibri"/>
              <w:noProof/>
              <w:color w:val="2E74B5"/>
              <w:sz w:val="16"/>
            </w:rPr>
            <w:t>1</w:t>
          </w:r>
          <w:r w:rsidRPr="007A274F">
            <w:rPr>
              <w:rFonts w:ascii="Calibri" w:hAnsi="Calibri" w:cs="Calibri"/>
              <w:color w:val="2E74B5"/>
              <w:sz w:val="16"/>
            </w:rPr>
            <w:fldChar w:fldCharType="end"/>
          </w:r>
        </w:p>
      </w:tc>
    </w:tr>
  </w:tbl>
  <w:p w14:paraId="0FCF782F" w14:textId="77777777" w:rsidR="00100DB6" w:rsidRDefault="00100D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1529"/>
    <w:multiLevelType w:val="hybridMultilevel"/>
    <w:tmpl w:val="E5626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FC2225"/>
    <w:multiLevelType w:val="hybridMultilevel"/>
    <w:tmpl w:val="15D4CCCA"/>
    <w:lvl w:ilvl="0" w:tplc="4D9A8A66">
      <w:start w:val="1"/>
      <w:numFmt w:val="bullet"/>
      <w:lvlText w:val=""/>
      <w:lvlJc w:val="left"/>
      <w:pPr>
        <w:ind w:left="360" w:hanging="360"/>
      </w:pPr>
      <w:rPr>
        <w:rFonts w:ascii="Wingdings" w:hAnsi="Wingdings"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2884AD4"/>
    <w:multiLevelType w:val="hybridMultilevel"/>
    <w:tmpl w:val="CDB64E78"/>
    <w:lvl w:ilvl="0" w:tplc="4D9A8A66">
      <w:start w:val="1"/>
      <w:numFmt w:val="bullet"/>
      <w:lvlText w:val=""/>
      <w:lvlJc w:val="left"/>
      <w:pPr>
        <w:ind w:left="360" w:hanging="360"/>
      </w:pPr>
      <w:rPr>
        <w:rFonts w:ascii="Wingdings" w:hAnsi="Wingdings"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35792918">
    <w:abstractNumId w:val="2"/>
  </w:num>
  <w:num w:numId="2" w16cid:durableId="1575161805">
    <w:abstractNumId w:val="0"/>
  </w:num>
  <w:num w:numId="3" w16cid:durableId="129729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A4"/>
    <w:rsid w:val="00100DB6"/>
    <w:rsid w:val="00146AD1"/>
    <w:rsid w:val="00161948"/>
    <w:rsid w:val="001B3BBB"/>
    <w:rsid w:val="002C4EEB"/>
    <w:rsid w:val="003A517E"/>
    <w:rsid w:val="004C2184"/>
    <w:rsid w:val="00536F2B"/>
    <w:rsid w:val="00597D48"/>
    <w:rsid w:val="0068072A"/>
    <w:rsid w:val="006C5A7F"/>
    <w:rsid w:val="006E0D76"/>
    <w:rsid w:val="008707B8"/>
    <w:rsid w:val="00871455"/>
    <w:rsid w:val="008E15EB"/>
    <w:rsid w:val="009A2428"/>
    <w:rsid w:val="00AD0DD3"/>
    <w:rsid w:val="00B925A4"/>
    <w:rsid w:val="00BD7A12"/>
    <w:rsid w:val="00C764CC"/>
    <w:rsid w:val="00D43D42"/>
    <w:rsid w:val="00E41800"/>
    <w:rsid w:val="00EE7D24"/>
    <w:rsid w:val="00F00D8D"/>
    <w:rsid w:val="00FD6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F5B74"/>
  <w15:chartTrackingRefBased/>
  <w15:docId w15:val="{FFAC34E9-DED4-4C15-8C6C-B8A8F3BC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D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DB6"/>
  </w:style>
  <w:style w:type="paragraph" w:styleId="Pidipagina">
    <w:name w:val="footer"/>
    <w:basedOn w:val="Normale"/>
    <w:link w:val="PidipaginaCarattere"/>
    <w:uiPriority w:val="99"/>
    <w:unhideWhenUsed/>
    <w:rsid w:val="00100D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DB6"/>
  </w:style>
  <w:style w:type="paragraph" w:styleId="Paragrafoelenco">
    <w:name w:val="List Paragraph"/>
    <w:basedOn w:val="Normale"/>
    <w:uiPriority w:val="34"/>
    <w:qFormat/>
    <w:rsid w:val="00100DB6"/>
    <w:pPr>
      <w:ind w:left="720"/>
      <w:contextualSpacing/>
    </w:pPr>
  </w:style>
  <w:style w:type="paragraph" w:styleId="Corpodeltesto2">
    <w:name w:val="Body Text 2"/>
    <w:basedOn w:val="Normale"/>
    <w:link w:val="Corpodeltesto2Carattere"/>
    <w:rsid w:val="00100DB6"/>
    <w:pPr>
      <w:spacing w:after="0" w:line="240" w:lineRule="auto"/>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100DB6"/>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3A51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5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2309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Filippo Poma</cp:lastModifiedBy>
  <cp:revision>2</cp:revision>
  <dcterms:created xsi:type="dcterms:W3CDTF">2024-07-15T09:58:00Z</dcterms:created>
  <dcterms:modified xsi:type="dcterms:W3CDTF">2024-07-15T09:58:00Z</dcterms:modified>
</cp:coreProperties>
</file>